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59522" w14:textId="6BAC6915" w:rsidR="002243A4" w:rsidRPr="00B50CEC" w:rsidRDefault="00B50CEC" w:rsidP="00915BE6">
      <w:pPr>
        <w:pStyle w:val="Heading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Balance Billing Out of Network</w:t>
      </w:r>
      <w:r w:rsidR="00EB09B7" w:rsidRPr="00B50CEC">
        <w:rPr>
          <w:rFonts w:asciiTheme="minorHAnsi" w:hAnsiTheme="minorHAnsi" w:cstheme="minorHAnsi"/>
          <w:b/>
          <w:bCs/>
        </w:rPr>
        <w:t xml:space="preserve"> Policy</w:t>
      </w:r>
      <w:r>
        <w:rPr>
          <w:rFonts w:asciiTheme="minorHAnsi" w:hAnsiTheme="minorHAnsi" w:cstheme="minorHAnsi"/>
          <w:b/>
          <w:bCs/>
        </w:rPr>
        <w:t xml:space="preserve"> -</w:t>
      </w:r>
      <w:r w:rsidR="001C1E43" w:rsidRPr="00B50CEC">
        <w:rPr>
          <w:rFonts w:asciiTheme="minorHAnsi" w:hAnsiTheme="minorHAnsi" w:cstheme="minorHAnsi"/>
          <w:b/>
          <w:bCs/>
        </w:rPr>
        <w:t xml:space="preserve"> </w:t>
      </w:r>
      <w:r w:rsidR="0008094D" w:rsidRPr="00B50CEC">
        <w:rPr>
          <w:rFonts w:asciiTheme="minorHAnsi" w:hAnsiTheme="minorHAnsi" w:cstheme="minorHAnsi"/>
          <w:b/>
          <w:bCs/>
        </w:rPr>
        <w:t xml:space="preserve"> </w:t>
      </w:r>
      <w:r w:rsidR="00BC220D" w:rsidRPr="00B50CEC">
        <w:rPr>
          <w:rFonts w:asciiTheme="minorHAnsi" w:hAnsiTheme="minorHAnsi" w:cstheme="minorHAnsi"/>
          <w:b/>
          <w:bCs/>
        </w:rPr>
        <w:t xml:space="preserve"> </w:t>
      </w:r>
      <w:r w:rsidR="00915BE6" w:rsidRPr="00B50CEC">
        <w:rPr>
          <w:rFonts w:asciiTheme="minorHAnsi" w:hAnsiTheme="minorHAnsi" w:cstheme="minorHAnsi"/>
          <w:b/>
          <w:bCs/>
        </w:rPr>
        <w:t xml:space="preserve"> </w:t>
      </w:r>
    </w:p>
    <w:p w14:paraId="1BA70ED9" w14:textId="77777777" w:rsidR="00915BE6" w:rsidRPr="00410A06" w:rsidRDefault="00915BE6" w:rsidP="00915BE6">
      <w:pPr>
        <w:rPr>
          <w:rFonts w:cstheme="minorHAnsi"/>
        </w:rPr>
      </w:pPr>
    </w:p>
    <w:p w14:paraId="72F157F9" w14:textId="45ACE406" w:rsidR="002243A4" w:rsidRPr="00B50CEC" w:rsidRDefault="002243A4" w:rsidP="002243A4">
      <w:pPr>
        <w:rPr>
          <w:rFonts w:cstheme="minorHAnsi"/>
          <w:sz w:val="24"/>
          <w:szCs w:val="24"/>
        </w:rPr>
      </w:pPr>
      <w:r w:rsidRPr="00B50CEC">
        <w:rPr>
          <w:rFonts w:cstheme="minorHAnsi"/>
          <w:sz w:val="24"/>
          <w:szCs w:val="24"/>
        </w:rPr>
        <w:t>Updated:</w:t>
      </w:r>
      <w:r w:rsidR="00EB09B7" w:rsidRPr="00B50CEC">
        <w:rPr>
          <w:rFonts w:cstheme="minorHAnsi"/>
          <w:sz w:val="24"/>
          <w:szCs w:val="24"/>
        </w:rPr>
        <w:t xml:space="preserve"> 12/2021</w:t>
      </w:r>
    </w:p>
    <w:p w14:paraId="2FC8CDB0" w14:textId="77777777" w:rsidR="002243A4" w:rsidRPr="00410A06" w:rsidRDefault="002243A4" w:rsidP="002243A4">
      <w:pPr>
        <w:rPr>
          <w:rFonts w:cstheme="minorHAnsi"/>
        </w:rPr>
      </w:pPr>
    </w:p>
    <w:p w14:paraId="4587B7DF" w14:textId="77777777" w:rsidR="002243A4" w:rsidRPr="00B50CEC" w:rsidRDefault="00E62B40" w:rsidP="00E62B40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B50CEC">
        <w:rPr>
          <w:rFonts w:asciiTheme="minorHAnsi" w:hAnsiTheme="minorHAnsi" w:cstheme="minorHAnsi"/>
          <w:sz w:val="28"/>
          <w:szCs w:val="28"/>
        </w:rPr>
        <w:t xml:space="preserve">Description </w:t>
      </w:r>
    </w:p>
    <w:p w14:paraId="2C89F6B0" w14:textId="5E4B55F0" w:rsidR="00E62B40" w:rsidRPr="00B50CEC" w:rsidRDefault="00BC220D" w:rsidP="00E62B40">
      <w:pPr>
        <w:rPr>
          <w:rFonts w:cstheme="minorHAnsi"/>
          <w:sz w:val="24"/>
          <w:szCs w:val="24"/>
        </w:rPr>
      </w:pPr>
      <w:r w:rsidRPr="00B50CEC">
        <w:rPr>
          <w:rFonts w:cstheme="minorHAnsi"/>
          <w:color w:val="333333"/>
          <w:sz w:val="24"/>
          <w:szCs w:val="24"/>
          <w:shd w:val="clear" w:color="auto" w:fill="FFFFFF"/>
        </w:rPr>
        <w:t xml:space="preserve">The purpose of this policy </w:t>
      </w:r>
      <w:r w:rsidR="00EB09B7" w:rsidRPr="00B50CEC">
        <w:rPr>
          <w:rFonts w:cstheme="minorHAnsi"/>
          <w:color w:val="333333"/>
          <w:sz w:val="24"/>
          <w:szCs w:val="24"/>
          <w:shd w:val="clear" w:color="auto" w:fill="FFFFFF"/>
        </w:rPr>
        <w:t>is to outline SEC’s adherence to CMS Public Health Service Act, effective 1 Jan 2022</w:t>
      </w:r>
    </w:p>
    <w:p w14:paraId="43C97F47" w14:textId="7756A2D4" w:rsidR="00AF5C93" w:rsidRPr="00410A06" w:rsidRDefault="00AF5C93" w:rsidP="00AF5C93">
      <w:pPr>
        <w:rPr>
          <w:rFonts w:cstheme="minorHAnsi"/>
        </w:rPr>
      </w:pPr>
    </w:p>
    <w:p w14:paraId="7FD483CC" w14:textId="77777777" w:rsidR="00EB09B7" w:rsidRPr="00B50CEC" w:rsidRDefault="00EB09B7" w:rsidP="00EB09B7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B50CEC">
        <w:rPr>
          <w:rFonts w:asciiTheme="minorHAnsi" w:hAnsiTheme="minorHAnsi" w:cstheme="minorHAnsi"/>
          <w:sz w:val="28"/>
          <w:szCs w:val="28"/>
        </w:rPr>
        <w:t>CMS Requirements</w:t>
      </w:r>
    </w:p>
    <w:p w14:paraId="6E7E9296" w14:textId="174AE94A" w:rsidR="00EB09B7" w:rsidRPr="00B50CEC" w:rsidRDefault="00EB09B7" w:rsidP="00EB09B7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292929"/>
        </w:rPr>
      </w:pPr>
      <w:r w:rsidRPr="00B50CEC">
        <w:rPr>
          <w:rFonts w:asciiTheme="minorHAnsi" w:hAnsiTheme="minorHAnsi" w:cstheme="minorHAnsi"/>
          <w:color w:val="292929"/>
        </w:rPr>
        <w:t>1.  The act bans surprise billing for emergency services and requires providers to bill on an in-network basis. It also proposes that patient cost-sharing can't be higher than services would be by an in-network physician.</w:t>
      </w:r>
    </w:p>
    <w:p w14:paraId="08CA7A95" w14:textId="6D0C0600" w:rsidR="00EB09B7" w:rsidRPr="00B50CEC" w:rsidRDefault="00EB09B7" w:rsidP="00EB09B7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292929"/>
        </w:rPr>
      </w:pPr>
      <w:r w:rsidRPr="00B50CEC">
        <w:rPr>
          <w:rFonts w:asciiTheme="minorHAnsi" w:hAnsiTheme="minorHAnsi" w:cstheme="minorHAnsi"/>
          <w:color w:val="292929"/>
        </w:rPr>
        <w:t>2. It creates a consent process to allow patients to waive their balance billing protections and agree to out-of-network charges.</w:t>
      </w:r>
    </w:p>
    <w:p w14:paraId="5ACD63CB" w14:textId="53E06754" w:rsidR="00EB09B7" w:rsidRPr="00B50CEC" w:rsidRDefault="00EB09B7" w:rsidP="00EB09B7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292929"/>
        </w:rPr>
      </w:pPr>
      <w:r w:rsidRPr="00B50CEC">
        <w:rPr>
          <w:rFonts w:asciiTheme="minorHAnsi" w:hAnsiTheme="minorHAnsi" w:cstheme="minorHAnsi"/>
          <w:color w:val="292929"/>
        </w:rPr>
        <w:t>3. Providers must publicly inform patients about their surprise-billing protections.</w:t>
      </w:r>
    </w:p>
    <w:p w14:paraId="147A4F65" w14:textId="1C421788" w:rsidR="00EB09B7" w:rsidRPr="00B50CEC" w:rsidRDefault="00EB09B7" w:rsidP="00EB09B7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292929"/>
        </w:rPr>
      </w:pPr>
      <w:r w:rsidRPr="00B50CEC">
        <w:rPr>
          <w:rFonts w:asciiTheme="minorHAnsi" w:hAnsiTheme="minorHAnsi" w:cstheme="minorHAnsi"/>
          <w:color w:val="292929"/>
        </w:rPr>
        <w:t>4. CMS defined the qualifying payment amount, which calculates patient cost-sharing, as the issuer's median in-network rate for 2019 trended forward.</w:t>
      </w:r>
    </w:p>
    <w:p w14:paraId="4AD6B56E" w14:textId="77777777" w:rsidR="00EB09B7" w:rsidRPr="00B50CEC" w:rsidRDefault="00EB09B7" w:rsidP="00EB09B7">
      <w:pPr>
        <w:shd w:val="clear" w:color="auto" w:fill="FFFFFF"/>
        <w:rPr>
          <w:rFonts w:eastAsia="Times New Roman" w:cstheme="minorHAnsi"/>
          <w:color w:val="202124"/>
          <w:sz w:val="24"/>
          <w:szCs w:val="24"/>
        </w:rPr>
      </w:pPr>
      <w:r w:rsidRPr="00B50CEC">
        <w:rPr>
          <w:rFonts w:eastAsia="Times New Roman" w:cstheme="minorHAnsi"/>
          <w:color w:val="202124"/>
          <w:sz w:val="24"/>
          <w:szCs w:val="24"/>
        </w:rPr>
        <w:t>What is considered surprise medical billing?</w:t>
      </w:r>
    </w:p>
    <w:p w14:paraId="334497B4" w14:textId="212B5005" w:rsidR="00EB09B7" w:rsidRPr="00B50CEC" w:rsidRDefault="00EB09B7" w:rsidP="00EB09B7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292929"/>
        </w:rPr>
      </w:pPr>
      <w:r w:rsidRPr="00B50CEC">
        <w:rPr>
          <w:rFonts w:asciiTheme="minorHAnsi" w:hAnsiTheme="minorHAnsi" w:cstheme="minorHAnsi"/>
          <w:color w:val="202124"/>
        </w:rPr>
        <w:t>Surprise billing happens </w:t>
      </w:r>
      <w:r w:rsidRPr="00B50CEC">
        <w:rPr>
          <w:rFonts w:asciiTheme="minorHAnsi" w:hAnsiTheme="minorHAnsi" w:cstheme="minorHAnsi"/>
          <w:b/>
          <w:bCs/>
          <w:color w:val="202124"/>
        </w:rPr>
        <w:t>when people unknowingly get care from providers that are outside of their health plan's network</w:t>
      </w:r>
      <w:r w:rsidRPr="00B50CEC">
        <w:rPr>
          <w:rFonts w:asciiTheme="minorHAnsi" w:hAnsiTheme="minorHAnsi" w:cstheme="minorHAnsi"/>
          <w:color w:val="202124"/>
        </w:rPr>
        <w:t xml:space="preserve"> and can happen for both emergency and non-emergency care. ... "Health insurance should offer patients peace of mind that they won't be saddled with unexpected </w:t>
      </w:r>
      <w:r w:rsidR="0041711B" w:rsidRPr="00B50CEC">
        <w:rPr>
          <w:rFonts w:asciiTheme="minorHAnsi" w:hAnsiTheme="minorHAnsi" w:cstheme="minorHAnsi"/>
          <w:color w:val="202124"/>
        </w:rPr>
        <w:t>costs.</w:t>
      </w:r>
    </w:p>
    <w:p w14:paraId="57E379F0" w14:textId="6920E2F2" w:rsidR="00EB09B7" w:rsidRPr="00410A06" w:rsidRDefault="00EB09B7" w:rsidP="00EB09B7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410A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24A042" w14:textId="2DAF42EB" w:rsidR="00E62B40" w:rsidRPr="00B50CEC" w:rsidRDefault="0008094D" w:rsidP="00E62B40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B50CEC">
        <w:rPr>
          <w:rFonts w:asciiTheme="minorHAnsi" w:hAnsiTheme="minorHAnsi" w:cstheme="minorHAnsi"/>
          <w:sz w:val="28"/>
          <w:szCs w:val="28"/>
        </w:rPr>
        <w:t>Staff Roles &amp; Responsibilities</w:t>
      </w:r>
    </w:p>
    <w:p w14:paraId="37A70584" w14:textId="1D8B721F" w:rsidR="00EB09B7" w:rsidRPr="00410A06" w:rsidRDefault="00EB09B7" w:rsidP="00EB09B7">
      <w:pPr>
        <w:rPr>
          <w:rFonts w:cstheme="minorHAnsi"/>
        </w:rPr>
      </w:pPr>
    </w:p>
    <w:p w14:paraId="09A5C896" w14:textId="16269720" w:rsidR="00EB09B7" w:rsidRPr="00B50CEC" w:rsidRDefault="00EB09B7" w:rsidP="00EB09B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B50CEC">
        <w:rPr>
          <w:rFonts w:cstheme="minorHAnsi"/>
          <w:sz w:val="24"/>
          <w:szCs w:val="24"/>
        </w:rPr>
        <w:t xml:space="preserve"> Policy is applicable to services provided both at the office as well as in and outpatient care.</w:t>
      </w:r>
    </w:p>
    <w:p w14:paraId="61805F7E" w14:textId="77777777" w:rsidR="00E72CBB" w:rsidRPr="00B50CEC" w:rsidRDefault="00E72CBB" w:rsidP="00E72CBB">
      <w:pPr>
        <w:rPr>
          <w:rFonts w:cstheme="minorHAnsi"/>
          <w:sz w:val="24"/>
          <w:szCs w:val="24"/>
        </w:rPr>
      </w:pPr>
    </w:p>
    <w:p w14:paraId="202634F9" w14:textId="1FEBDFDA" w:rsidR="00EB09B7" w:rsidRPr="00B50CEC" w:rsidRDefault="00F0202D" w:rsidP="00EB09B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B50CEC">
        <w:rPr>
          <w:rFonts w:cstheme="minorHAnsi"/>
          <w:sz w:val="24"/>
          <w:szCs w:val="24"/>
        </w:rPr>
        <w:t>Please refer to Out of Network policy for guidance on office visits.</w:t>
      </w:r>
    </w:p>
    <w:p w14:paraId="36F783C4" w14:textId="77777777" w:rsidR="00E72CBB" w:rsidRPr="00B50CEC" w:rsidRDefault="00E72CBB" w:rsidP="00410A06">
      <w:pPr>
        <w:rPr>
          <w:rFonts w:cstheme="minorHAnsi"/>
          <w:sz w:val="24"/>
          <w:szCs w:val="24"/>
        </w:rPr>
      </w:pPr>
    </w:p>
    <w:p w14:paraId="24E05F70" w14:textId="7565F3D1" w:rsidR="00F0202D" w:rsidRPr="00B50CEC" w:rsidRDefault="00F0202D" w:rsidP="00EB09B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B50CEC">
        <w:rPr>
          <w:rFonts w:cstheme="minorHAnsi"/>
          <w:sz w:val="24"/>
          <w:szCs w:val="24"/>
        </w:rPr>
        <w:t>Hospital and/or ER Visits:</w:t>
      </w:r>
    </w:p>
    <w:p w14:paraId="63479202" w14:textId="7577945B" w:rsidR="00F0202D" w:rsidRPr="00B50CEC" w:rsidRDefault="00F0202D" w:rsidP="00F0202D">
      <w:pPr>
        <w:pStyle w:val="ListParagraph"/>
        <w:numPr>
          <w:ilvl w:val="1"/>
          <w:numId w:val="18"/>
        </w:numPr>
        <w:rPr>
          <w:rFonts w:cstheme="minorHAnsi"/>
          <w:sz w:val="24"/>
          <w:szCs w:val="24"/>
        </w:rPr>
      </w:pPr>
      <w:r w:rsidRPr="00B50CEC">
        <w:rPr>
          <w:rFonts w:cstheme="minorHAnsi"/>
          <w:sz w:val="24"/>
          <w:szCs w:val="24"/>
        </w:rPr>
        <w:t xml:space="preserve">When creating claims, coders are responsible for reviewing and annotating </w:t>
      </w:r>
      <w:r w:rsidR="0041711B" w:rsidRPr="00B50CEC">
        <w:rPr>
          <w:rFonts w:cstheme="minorHAnsi"/>
          <w:sz w:val="24"/>
          <w:szCs w:val="24"/>
        </w:rPr>
        <w:t>patients’</w:t>
      </w:r>
      <w:r w:rsidRPr="00B50CEC">
        <w:rPr>
          <w:rFonts w:cstheme="minorHAnsi"/>
          <w:sz w:val="24"/>
          <w:szCs w:val="24"/>
        </w:rPr>
        <w:t xml:space="preserve"> insurance on the claim created.  If an out of network claim is determined, the account will be placed in a hold status to validate.</w:t>
      </w:r>
    </w:p>
    <w:p w14:paraId="63AA2BFF" w14:textId="7372D436" w:rsidR="00F0202D" w:rsidRPr="00B50CEC" w:rsidRDefault="00F0202D" w:rsidP="00F0202D">
      <w:pPr>
        <w:pStyle w:val="ListParagraph"/>
        <w:numPr>
          <w:ilvl w:val="1"/>
          <w:numId w:val="18"/>
        </w:numPr>
        <w:rPr>
          <w:rFonts w:cstheme="minorHAnsi"/>
          <w:sz w:val="24"/>
          <w:szCs w:val="24"/>
        </w:rPr>
      </w:pPr>
      <w:r w:rsidRPr="00B50CEC">
        <w:rPr>
          <w:rFonts w:cstheme="minorHAnsi"/>
          <w:sz w:val="24"/>
          <w:szCs w:val="24"/>
        </w:rPr>
        <w:t>Denial or payment received.</w:t>
      </w:r>
    </w:p>
    <w:p w14:paraId="174401AC" w14:textId="76B4062C" w:rsidR="00F0202D" w:rsidRPr="00B50CEC" w:rsidRDefault="008B3496" w:rsidP="00F0202D">
      <w:pPr>
        <w:pStyle w:val="ListParagraph"/>
        <w:numPr>
          <w:ilvl w:val="2"/>
          <w:numId w:val="18"/>
        </w:numPr>
        <w:rPr>
          <w:rFonts w:cstheme="minorHAnsi"/>
          <w:sz w:val="24"/>
          <w:szCs w:val="24"/>
        </w:rPr>
      </w:pPr>
      <w:r w:rsidRPr="00B50CEC">
        <w:rPr>
          <w:rFonts w:cstheme="minorHAnsi"/>
          <w:sz w:val="24"/>
          <w:szCs w:val="24"/>
        </w:rPr>
        <w:t>Denial for OON received:  Billing representative reviews paid claims from the same payer to determine “</w:t>
      </w:r>
      <w:r w:rsidR="00B50CEC" w:rsidRPr="00B50CEC">
        <w:rPr>
          <w:rFonts w:cstheme="minorHAnsi"/>
          <w:sz w:val="24"/>
          <w:szCs w:val="24"/>
        </w:rPr>
        <w:t>standard payments</w:t>
      </w:r>
      <w:r w:rsidRPr="00B50CEC">
        <w:rPr>
          <w:rFonts w:cstheme="minorHAnsi"/>
          <w:sz w:val="24"/>
          <w:szCs w:val="24"/>
        </w:rPr>
        <w:t>”.  Remaining balance will be written off to contracted adjustments and the balance assigned to the patient.</w:t>
      </w:r>
    </w:p>
    <w:p w14:paraId="370231B4" w14:textId="36F82927" w:rsidR="008B3496" w:rsidRPr="00B50CEC" w:rsidRDefault="008B3496" w:rsidP="00F0202D">
      <w:pPr>
        <w:pStyle w:val="ListParagraph"/>
        <w:numPr>
          <w:ilvl w:val="2"/>
          <w:numId w:val="18"/>
        </w:numPr>
        <w:rPr>
          <w:rFonts w:cstheme="minorHAnsi"/>
          <w:sz w:val="24"/>
          <w:szCs w:val="24"/>
        </w:rPr>
      </w:pPr>
      <w:r w:rsidRPr="00B50CEC">
        <w:rPr>
          <w:rFonts w:cstheme="minorHAnsi"/>
          <w:sz w:val="24"/>
          <w:szCs w:val="24"/>
        </w:rPr>
        <w:t xml:space="preserve">Payment received: </w:t>
      </w:r>
      <w:r w:rsidR="0041711B" w:rsidRPr="00B50CEC">
        <w:rPr>
          <w:rFonts w:cstheme="minorHAnsi"/>
          <w:sz w:val="24"/>
          <w:szCs w:val="24"/>
        </w:rPr>
        <w:t>payment will be applied to the patient’s account.  Copay or co-insurance will be determined by the above stated method.</w:t>
      </w:r>
    </w:p>
    <w:p w14:paraId="75CEB5EF" w14:textId="21BA71D5" w:rsidR="00E72CBB" w:rsidRPr="00B50CEC" w:rsidRDefault="00692C74" w:rsidP="00692C74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B50CEC">
        <w:rPr>
          <w:rFonts w:cstheme="minorHAnsi"/>
          <w:sz w:val="24"/>
          <w:szCs w:val="24"/>
        </w:rPr>
        <w:t xml:space="preserve"> SEC COO is responsible for ensuring this policy </w:t>
      </w:r>
      <w:r w:rsidR="00E72CBB" w:rsidRPr="00B50CEC">
        <w:rPr>
          <w:rFonts w:cstheme="minorHAnsi"/>
          <w:sz w:val="24"/>
          <w:szCs w:val="24"/>
        </w:rPr>
        <w:t>is posted to the SEC web site for review by patients</w:t>
      </w:r>
      <w:r w:rsidR="00C67601" w:rsidRPr="00B50CEC">
        <w:rPr>
          <w:rFonts w:cstheme="minorHAnsi"/>
          <w:sz w:val="24"/>
          <w:szCs w:val="24"/>
        </w:rPr>
        <w:t>.</w:t>
      </w:r>
    </w:p>
    <w:p w14:paraId="694F7DAE" w14:textId="7057DD39" w:rsidR="0041711B" w:rsidRPr="00410A06" w:rsidRDefault="00E72CBB" w:rsidP="00E72CBB">
      <w:pPr>
        <w:ind w:left="360"/>
        <w:rPr>
          <w:rFonts w:cstheme="minorHAnsi"/>
        </w:rPr>
      </w:pPr>
      <w:r w:rsidRPr="00410A06">
        <w:rPr>
          <w:rFonts w:cstheme="minorHAnsi"/>
        </w:rPr>
        <w:t xml:space="preserve"> </w:t>
      </w:r>
    </w:p>
    <w:p w14:paraId="4F292C05" w14:textId="77777777" w:rsidR="00EB09B7" w:rsidRPr="00410A06" w:rsidRDefault="00EB09B7" w:rsidP="00EB09B7">
      <w:pPr>
        <w:rPr>
          <w:rFonts w:cstheme="minorHAnsi"/>
        </w:rPr>
      </w:pPr>
    </w:p>
    <w:p w14:paraId="2BD30B19" w14:textId="5A5D8BC8" w:rsidR="0008094D" w:rsidRPr="00410A06" w:rsidRDefault="0008094D" w:rsidP="0008094D">
      <w:pPr>
        <w:rPr>
          <w:rFonts w:cstheme="minorHAnsi"/>
        </w:rPr>
      </w:pPr>
    </w:p>
    <w:p w14:paraId="3EAA3591" w14:textId="482637F0" w:rsidR="00B23DE4" w:rsidRPr="00410A06" w:rsidRDefault="00B23DE4" w:rsidP="001C1E43">
      <w:pPr>
        <w:pStyle w:val="ListParagraph"/>
        <w:rPr>
          <w:rFonts w:cstheme="minorHAnsi"/>
        </w:rPr>
      </w:pPr>
    </w:p>
    <w:sectPr w:rsidR="00B23DE4" w:rsidRPr="00410A0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B6CB7" w14:textId="77777777" w:rsidR="00F74776" w:rsidRDefault="00F74776" w:rsidP="002243A4">
      <w:r>
        <w:separator/>
      </w:r>
    </w:p>
  </w:endnote>
  <w:endnote w:type="continuationSeparator" w:id="0">
    <w:p w14:paraId="79021B4B" w14:textId="77777777" w:rsidR="00F74776" w:rsidRDefault="00F74776" w:rsidP="0022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JCL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820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972CCB" w14:textId="0DC94868" w:rsidR="00B50CEC" w:rsidRDefault="00B50C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9DEAED" w14:textId="77777777" w:rsidR="00B50CEC" w:rsidRDefault="00B50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435F9" w14:textId="77777777" w:rsidR="00F74776" w:rsidRDefault="00F74776" w:rsidP="002243A4">
      <w:r>
        <w:separator/>
      </w:r>
    </w:p>
  </w:footnote>
  <w:footnote w:type="continuationSeparator" w:id="0">
    <w:p w14:paraId="05A841CF" w14:textId="77777777" w:rsidR="00F74776" w:rsidRDefault="00F74776" w:rsidP="00224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3977" w14:textId="3A725923" w:rsidR="002243A4" w:rsidRDefault="00B50CEC" w:rsidP="002243A4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D26516" wp14:editId="1813E45E">
          <wp:simplePos x="0" y="0"/>
          <wp:positionH relativeFrom="margin">
            <wp:align>center</wp:align>
          </wp:positionH>
          <wp:positionV relativeFrom="page">
            <wp:posOffset>619125</wp:posOffset>
          </wp:positionV>
          <wp:extent cx="6858635" cy="1779905"/>
          <wp:effectExtent l="0" t="0" r="0" b="0"/>
          <wp:wrapTopAndBottom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635" cy="177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1D9"/>
    <w:multiLevelType w:val="hybridMultilevel"/>
    <w:tmpl w:val="C5B2D9B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40F6AD3"/>
    <w:multiLevelType w:val="hybridMultilevel"/>
    <w:tmpl w:val="D206A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2CF5"/>
    <w:multiLevelType w:val="hybridMultilevel"/>
    <w:tmpl w:val="6F327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6F2CEA"/>
    <w:multiLevelType w:val="hybridMultilevel"/>
    <w:tmpl w:val="9B5222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FA175B"/>
    <w:multiLevelType w:val="hybridMultilevel"/>
    <w:tmpl w:val="EC44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A1C09"/>
    <w:multiLevelType w:val="hybridMultilevel"/>
    <w:tmpl w:val="80D6F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AF7936"/>
    <w:multiLevelType w:val="hybridMultilevel"/>
    <w:tmpl w:val="999A39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1C34BE"/>
    <w:multiLevelType w:val="hybridMultilevel"/>
    <w:tmpl w:val="596CF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A24F25"/>
    <w:multiLevelType w:val="hybridMultilevel"/>
    <w:tmpl w:val="F03A7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193088"/>
    <w:multiLevelType w:val="hybridMultilevel"/>
    <w:tmpl w:val="3724A8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805C5"/>
    <w:multiLevelType w:val="hybridMultilevel"/>
    <w:tmpl w:val="A2449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74EF1"/>
    <w:multiLevelType w:val="hybridMultilevel"/>
    <w:tmpl w:val="50F0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E5E70"/>
    <w:multiLevelType w:val="hybridMultilevel"/>
    <w:tmpl w:val="AE2416EE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224C7"/>
    <w:multiLevelType w:val="hybridMultilevel"/>
    <w:tmpl w:val="3D1C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113C0"/>
    <w:multiLevelType w:val="hybridMultilevel"/>
    <w:tmpl w:val="5798B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94E59"/>
    <w:multiLevelType w:val="hybridMultilevel"/>
    <w:tmpl w:val="30A48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51FB2"/>
    <w:multiLevelType w:val="hybridMultilevel"/>
    <w:tmpl w:val="0C241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F1010"/>
    <w:multiLevelType w:val="hybridMultilevel"/>
    <w:tmpl w:val="50FA1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C13092"/>
    <w:multiLevelType w:val="hybridMultilevel"/>
    <w:tmpl w:val="EC44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4"/>
  </w:num>
  <w:num w:numId="5">
    <w:abstractNumId w:val="18"/>
  </w:num>
  <w:num w:numId="6">
    <w:abstractNumId w:val="17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7"/>
  </w:num>
  <w:num w:numId="13">
    <w:abstractNumId w:val="0"/>
  </w:num>
  <w:num w:numId="14">
    <w:abstractNumId w:val="1"/>
  </w:num>
  <w:num w:numId="15">
    <w:abstractNumId w:val="15"/>
  </w:num>
  <w:num w:numId="16">
    <w:abstractNumId w:val="16"/>
  </w:num>
  <w:num w:numId="17">
    <w:abstractNumId w:val="10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A4"/>
    <w:rsid w:val="00003E15"/>
    <w:rsid w:val="0002376D"/>
    <w:rsid w:val="0008094D"/>
    <w:rsid w:val="000839EF"/>
    <w:rsid w:val="000D78BF"/>
    <w:rsid w:val="001B26E1"/>
    <w:rsid w:val="001C1E43"/>
    <w:rsid w:val="001C3435"/>
    <w:rsid w:val="002243A4"/>
    <w:rsid w:val="002A2EEA"/>
    <w:rsid w:val="003818E1"/>
    <w:rsid w:val="003A39AB"/>
    <w:rsid w:val="003B730D"/>
    <w:rsid w:val="00410A06"/>
    <w:rsid w:val="0041711B"/>
    <w:rsid w:val="00444E7E"/>
    <w:rsid w:val="0047643F"/>
    <w:rsid w:val="004C58D4"/>
    <w:rsid w:val="005472FA"/>
    <w:rsid w:val="00565C64"/>
    <w:rsid w:val="005813DC"/>
    <w:rsid w:val="005E0DCE"/>
    <w:rsid w:val="00692C74"/>
    <w:rsid w:val="006E6CF4"/>
    <w:rsid w:val="0073027F"/>
    <w:rsid w:val="00741E7A"/>
    <w:rsid w:val="007B03F9"/>
    <w:rsid w:val="007B389E"/>
    <w:rsid w:val="007F69DB"/>
    <w:rsid w:val="00827FD7"/>
    <w:rsid w:val="00837C0F"/>
    <w:rsid w:val="0087619B"/>
    <w:rsid w:val="008B3496"/>
    <w:rsid w:val="008B5E7B"/>
    <w:rsid w:val="00902003"/>
    <w:rsid w:val="00906071"/>
    <w:rsid w:val="00913056"/>
    <w:rsid w:val="00915BE6"/>
    <w:rsid w:val="00955EE6"/>
    <w:rsid w:val="00957EF8"/>
    <w:rsid w:val="00973BE8"/>
    <w:rsid w:val="009A6C23"/>
    <w:rsid w:val="009D2F61"/>
    <w:rsid w:val="00A03739"/>
    <w:rsid w:val="00A3434D"/>
    <w:rsid w:val="00A56377"/>
    <w:rsid w:val="00A879E8"/>
    <w:rsid w:val="00A92B8F"/>
    <w:rsid w:val="00A95AE1"/>
    <w:rsid w:val="00AB1974"/>
    <w:rsid w:val="00AE0397"/>
    <w:rsid w:val="00AF5C93"/>
    <w:rsid w:val="00B23DE4"/>
    <w:rsid w:val="00B33F9A"/>
    <w:rsid w:val="00B50CEC"/>
    <w:rsid w:val="00BC220D"/>
    <w:rsid w:val="00BE5FD8"/>
    <w:rsid w:val="00C41A2B"/>
    <w:rsid w:val="00C45FDC"/>
    <w:rsid w:val="00C66B82"/>
    <w:rsid w:val="00C67601"/>
    <w:rsid w:val="00C95064"/>
    <w:rsid w:val="00DA0D66"/>
    <w:rsid w:val="00DA1F02"/>
    <w:rsid w:val="00E135C6"/>
    <w:rsid w:val="00E62A66"/>
    <w:rsid w:val="00E62B40"/>
    <w:rsid w:val="00E66255"/>
    <w:rsid w:val="00E72CBB"/>
    <w:rsid w:val="00E97493"/>
    <w:rsid w:val="00EB09B7"/>
    <w:rsid w:val="00EC44ED"/>
    <w:rsid w:val="00F0202D"/>
    <w:rsid w:val="00F25FF8"/>
    <w:rsid w:val="00F74776"/>
    <w:rsid w:val="00FA71EE"/>
    <w:rsid w:val="00FC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67F2"/>
  <w15:docId w15:val="{D636952B-676F-4A24-858B-455FE5A6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4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3A4"/>
  </w:style>
  <w:style w:type="paragraph" w:styleId="Footer">
    <w:name w:val="footer"/>
    <w:basedOn w:val="Normal"/>
    <w:link w:val="FooterChar"/>
    <w:uiPriority w:val="99"/>
    <w:unhideWhenUsed/>
    <w:rsid w:val="002243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3A4"/>
  </w:style>
  <w:style w:type="table" w:styleId="TableGrid">
    <w:name w:val="Table Grid"/>
    <w:basedOn w:val="TableNormal"/>
    <w:uiPriority w:val="39"/>
    <w:rsid w:val="000D7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6CF4"/>
    <w:pPr>
      <w:autoSpaceDE w:val="0"/>
      <w:autoSpaceDN w:val="0"/>
      <w:adjustRightInd w:val="0"/>
    </w:pPr>
    <w:rPr>
      <w:rFonts w:ascii="AKJCLN+TimesNewRoman" w:hAnsi="AKJCLN+TimesNewRoman" w:cs="AKJCLN+TimesNew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B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B8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B09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se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8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Massey</dc:creator>
  <cp:lastModifiedBy>Sonia Rogers</cp:lastModifiedBy>
  <cp:revision>3</cp:revision>
  <cp:lastPrinted>2018-06-07T18:55:00Z</cp:lastPrinted>
  <dcterms:created xsi:type="dcterms:W3CDTF">2021-12-10T17:08:00Z</dcterms:created>
  <dcterms:modified xsi:type="dcterms:W3CDTF">2021-12-13T18:21:00Z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